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bookmarkStart w:colFirst="0" w:colLast="0" w:name="_heading=h.1j2vqhce4cb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4" name="image3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Teacher and school leaders training to promote Digital liteRacy and combat the spread of disinfOrmation among vulNerable groups of adolEscents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600" w:lineRule="auto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Helvetica Neue" w:cs="Helvetica Neue" w:eastAsia="Helvetica Neue" w:hAnsi="Helvetica Neue"/>
          <w:color w:val="003c82"/>
        </w:rPr>
      </w:pPr>
      <w:bookmarkStart w:colFirst="0" w:colLast="0" w:name="_heading=h.23ckvvd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3" name="image2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2">
      <w:pPr>
        <w:pStyle w:val="Heading1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információs műveltség keretrendszereinek megértése: UNESCO és ACRL</w:t>
      </w:r>
    </w:p>
    <w:p w:rsidR="00000000" w:rsidDel="00000000" w:rsidP="00000000" w:rsidRDefault="00000000" w:rsidRPr="00000000" w14:paraId="00000013">
      <w:pPr>
        <w:jc w:val="both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információs műveltség alapvető készség a digitális korban, amely képessé teszi az egyéneket az információk kritikus értékelésére, elérésére és hatékony felhasználására. Két fő keretrendszer irányítja az oktatókat és a tanulókat e kompetenciák fejlesztésében: az UNESCO keretrendszere és az ACRL (Főiskolai és Kutatókönyvtárak Szövetsége) információs műveltség keretrendszere.</w:t>
      </w:r>
    </w:p>
    <w:p w:rsidR="00000000" w:rsidDel="00000000" w:rsidP="00000000" w:rsidRDefault="00000000" w:rsidRPr="00000000" w14:paraId="00000015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jc w:val="both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sz w:val="32"/>
          <w:szCs w:val="32"/>
          <w:rtl w:val="0"/>
        </w:rPr>
        <w:t xml:space="preserve">UNESCO keretrendszer az információs műveltségért</w:t>
      </w:r>
    </w:p>
    <w:p w:rsidR="00000000" w:rsidDel="00000000" w:rsidP="00000000" w:rsidRDefault="00000000" w:rsidRPr="00000000" w14:paraId="00000017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UNESCO az információs műveltséget úgy határozza meg, mint azt a képességet, amely lehetővé teszi az információk azonosítását, megtalálását, értékelését és hatékony felhasználását problémamegoldás és döntéshozatal céljából. Hangsúlyozza az információs műveltség szerepét az élethosszig tartó tanulásban, a demokratikus részvételben és a fenntartható fejlődésben. A kulcsfontosságú alapelvek a következők:</w:t>
        <w:br w:type="textWrapping"/>
        <w:t xml:space="preserve">Az információhoz való hozzáférés előmozdítása mint emberi jog.</w:t>
        <w:br w:type="textWrapping"/>
        <w:t xml:space="preserve">A kritikus gondolkodás és az információ etikus használatának ösztönzése.</w:t>
        <w:br w:type="textWrapping"/>
        <w:t xml:space="preserve">A digitális befogadás és a tudáshoz való egyenlő hozzáférés támogatása.</w:t>
        <w:br w:type="textWrapping"/>
        <w:t xml:space="preserve">A média- és információs műveltség integrálása az oktatási rendszerekbe.</w:t>
        <w:br w:type="textWrapping"/>
        <w:t xml:space="preserve">Például egy iskolai vezető ezt a keretrendszert használhatja arra, hogy kiálljon a digitális erőforrásokhoz való egyenlő hozzáférés mellett minden tanulói csoport számára. A szülők ezt felhasználhatják arra, hogy irányt mutassanak a gyermekekkel folytatott beszélgetésekben az online tartalmak értékeléséről. A tanárok beépíthetik a médiaműveltséget az órai megbeszélésekbe a kritikus gondolkodás fejlesztése érdekében.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Az információhoz való hozzáférés mint emberi jog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Mindenkinek biztosítani kell a megbízható, sokszínű és befogadó információkhoz való hozzáférést.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Iskolai vezetők: Biztosítják, hogy minden tanuló rendelkezzen internet-hozzáféréssel és digitális eszközökkel.</w:t>
        <w:br w:type="textWrapping"/>
        <w:t xml:space="preserve">Tanárok: Többféle formátumban (szöveg, hang, videó) biztosítanak tananyagokat a különböző igények kielégítésére.</w:t>
        <w:br w:type="textWrapping"/>
        <w:t xml:space="preserve">Szülők: Kiállnak a digitális hozzáférés mellett otthon és a közösségben.</w:t>
      </w:r>
    </w:p>
    <w:p w:rsidR="00000000" w:rsidDel="00000000" w:rsidP="00000000" w:rsidRDefault="00000000" w:rsidRPr="00000000" w14:paraId="0000001A">
      <w:pPr>
        <w:spacing w:after="240" w:before="240" w:line="276" w:lineRule="auto"/>
        <w:ind w:left="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Kritikus gondolkodás és az információ etikus használata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A tanulóknak meg kell kérdőjelezniük a forrásokat, ellenőrizniük kell a tényeket, és felelősen kell használniuk az információt.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Iskolai vezetők: Iskolaszintű irányelveket támogatnak az akadémiai tisztességről és a digitális állampolgárságról.</w:t>
        <w:br w:type="textWrapping"/>
        <w:t xml:space="preserve">Tanárok: Megtanítják a diákokat a torzítások és a félretájékoztatás felismerésére a médiában.</w:t>
        <w:br w:type="textWrapping"/>
        <w:t xml:space="preserve">Szülők: Beszélgetnek a gyermekekkel arról, hogyan ismerhetik fel a kattintásvadász tartalmakat vagy az álhíreket.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Digitális befogadás és a tudáshoz való egyenlő hozzáférés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A digitális szakadék áthidalása annak érdekében, hogy mindenki – háttértől függetlenül – részt vehessen az információs társadalomban.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Iskolai vezetők: Befogadó technológiai irányelveket és támogatást vezetnek be a hátrányos helyzetű tanulók számára.</w:t>
        <w:br w:type="textWrapping"/>
        <w:t xml:space="preserve">Tanárok: Nyílt oktatási forrásokat (OER) használnak a költségek csökkentése és a hozzáférés növelése érdekében.</w:t>
        <w:br w:type="textWrapping"/>
        <w:t xml:space="preserve">Szülők: Segítik gyermekeiket abban, hogy nyilvános könyvtárakat vagy közösségi központokat használjanak internet-hozzáféréshez.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Integráció az oktatási rendszerekben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A média- és információs műveltséget minden tantárgyban és oktatási szinten be kell építeni.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Iskolai vezetők: Beépítik a MIL-t az iskola stratégiai tervébe és a pedagógus-továbbképzésekbe.</w:t>
        <w:br w:type="textWrapping"/>
        <w:t xml:space="preserve">Tanárok: Médiatartalom-elemzést építenek be olyan tantárgyakba, mint a történelem, a természettudományok vagy az anyanyelvi oktatás.</w:t>
        <w:br w:type="textWrapping"/>
        <w:t xml:space="preserve">Szülők: Megerősítik az iskolai tanulást az aktuális eseményekről és a médiáról folytatott otthoni beszélgetésekkel.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jc w:val="both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sz w:val="32"/>
          <w:szCs w:val="32"/>
          <w:rtl w:val="0"/>
        </w:rPr>
        <w:t xml:space="preserve">ACRL keretrendszer az információs műveltségért</w:t>
      </w:r>
    </w:p>
    <w:p w:rsidR="00000000" w:rsidDel="00000000" w:rsidP="00000000" w:rsidRDefault="00000000" w:rsidRPr="00000000" w14:paraId="00000022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ACRL-keretrendszer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, amelyet a felsőoktatás számára dolgoztak ki, hat alapfogalmat határoz meg, amelyeket „kereteknek” neveznek: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 tekintély konstruált és kontextusfüggő</w:t>
        <w:br w:type="textWrapping"/>
        <w:t xml:space="preserve">Az információ létrehozása mint folyamat</w:t>
        <w:br w:type="textWrapping"/>
        <w:t xml:space="preserve">Az információnak értéke van</w:t>
        <w:br w:type="textWrapping"/>
        <w:t xml:space="preserve">A kutatás mint kérdésfeltevés</w:t>
        <w:br w:type="textWrapping"/>
        <w:t xml:space="preserve">A tudományos munka mint párbeszéd</w:t>
        <w:br w:type="textWrapping"/>
        <w:t xml:space="preserve">A keresés mint stratégiai feltárás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after="80" w:before="280" w:lineRule="auto"/>
        <w:jc w:val="both"/>
        <w:rPr>
          <w:rFonts w:ascii="Cambria" w:cs="Cambria" w:eastAsia="Cambria" w:hAnsi="Cambria"/>
          <w:b w:val="1"/>
          <w:bCs w:val="1"/>
          <w:color w:val="000000"/>
        </w:rPr>
      </w:pPr>
      <w:bookmarkStart w:colFirst="0" w:colLast="0" w:name="_heading=h.pv42fnj8k7w" w:id="2"/>
      <w:bookmarkEnd w:id="2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 tekintély konstruált és kontextusfüggő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hitelesség a kontextustól függ; a szakértelem nem abszolút.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Tanárok: Segítenek a diákoknak megérteni, miért jobb forrás egy tudós a klímaváltozás témájában, mint egy híresség.</w:t>
        <w:br w:type="textWrapping"/>
        <w:t xml:space="preserve">Szülők: Arra bátorítják a gyerekeket, hogy kérdezzék meg: „Ki mondta ezt, és miért bízzak benne?”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after="80" w:before="280" w:lineRule="auto"/>
        <w:jc w:val="both"/>
        <w:rPr>
          <w:rFonts w:ascii="Cambria" w:cs="Cambria" w:eastAsia="Cambria" w:hAnsi="Cambria"/>
          <w:b w:val="1"/>
          <w:bCs w:val="1"/>
          <w:color w:val="000000"/>
        </w:rPr>
      </w:pPr>
      <w:bookmarkStart w:colFirst="0" w:colLast="0" w:name="_heading=h.6eki4uo3aima" w:id="3"/>
      <w:bookmarkEnd w:id="3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Az információ létrehozása mint folyamat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információ különböző formátumokban készül (blogok, cikkek, videók), amelyek mindegyike saját céllal és hitelességgel rendelkezik.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Tanárok: Összehasonlítanak egy lektorált tudományos cikket egy YouTube-magyarázó videóval ugyanarról a témáról.</w:t>
        <w:br w:type="textWrapping"/>
        <w:t xml:space="preserve">Iskolai vezetők: Támogatják a digitális tartalmak értékeléséről szóló szakmai továbbképzéseket.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after="80" w:before="280" w:lineRule="auto"/>
        <w:jc w:val="both"/>
        <w:rPr>
          <w:rFonts w:ascii="Cambria" w:cs="Cambria" w:eastAsia="Cambria" w:hAnsi="Cambria"/>
          <w:b w:val="1"/>
          <w:bCs w:val="1"/>
          <w:color w:val="000000"/>
        </w:rPr>
      </w:pPr>
      <w:bookmarkStart w:colFirst="0" w:colLast="0" w:name="_heading=h.485975ut530n" w:id="4"/>
      <w:bookmarkEnd w:id="4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Az információnak értéke van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információ szellemi tulajdon, és jogi, társadalmi és gazdasági következményekkel jár.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Tanárok: Megtanítják a diákokat a forrásmegjelölésre és a szerzői jog tiszteletben tartására.</w:t>
        <w:br w:type="textWrapping"/>
        <w:t xml:space="preserve">Szülők: Példát mutatnak az online tartalmak etikus megosztásában.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after="80" w:before="280" w:lineRule="auto"/>
        <w:jc w:val="both"/>
        <w:rPr>
          <w:rFonts w:ascii="Cambria" w:cs="Cambria" w:eastAsia="Cambria" w:hAnsi="Cambria"/>
          <w:b w:val="1"/>
          <w:bCs w:val="1"/>
          <w:color w:val="000000"/>
        </w:rPr>
      </w:pPr>
      <w:bookmarkStart w:colFirst="0" w:colLast="0" w:name="_heading=h.8bxs4wpcmny7" w:id="5"/>
      <w:bookmarkEnd w:id="5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 kutatás mint kérdésfeltevés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kutatás ismétlődő folyamat, amely kérdések feltevéséből és válaszok kereséséből áll.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Tanárok: Végigvezetik a diákokat a kutatási kérdések kidolgozásán és finomításán.</w:t>
        <w:br w:type="textWrapping"/>
        <w:t xml:space="preserve">Iskolai vezetők: Ösztönzik a kérdésalapú tanulást a tanterv egészében.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after="80" w:before="280" w:lineRule="auto"/>
        <w:jc w:val="both"/>
        <w:rPr>
          <w:rFonts w:ascii="Cambria" w:cs="Cambria" w:eastAsia="Cambria" w:hAnsi="Cambria"/>
          <w:b w:val="1"/>
          <w:bCs w:val="1"/>
          <w:color w:val="000000"/>
        </w:rPr>
      </w:pPr>
      <w:bookmarkStart w:colFirst="0" w:colLast="0" w:name="_heading=h.2oqd3pe1genf" w:id="6"/>
      <w:bookmarkEnd w:id="6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 tudományos munka mint párbeszéd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tudás a kutatók és közösségek közötti párbeszéden keresztül épül fel.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Tanárok: Bemutatják, hogyan fejlődnek az akadémiai viták az idő múlásával.</w:t>
        <w:br w:type="textWrapping"/>
        <w:t xml:space="preserve">Szülők: Arra bátorítják a családban a különböző nézőpontok tiszteletteljes megvitatását.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after="80" w:before="280" w:lineRule="auto"/>
        <w:jc w:val="both"/>
        <w:rPr>
          <w:rFonts w:ascii="Cambria" w:cs="Cambria" w:eastAsia="Cambria" w:hAnsi="Cambria"/>
          <w:b w:val="1"/>
          <w:bCs w:val="1"/>
          <w:color w:val="000000"/>
        </w:rPr>
      </w:pPr>
      <w:bookmarkStart w:colFirst="0" w:colLast="0" w:name="_heading=h.gq0rnnegnsm2" w:id="7"/>
      <w:bookmarkEnd w:id="7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 keresés mint stratégiai feltárás</w:t>
      </w:r>
    </w:p>
    <w:p w:rsidR="00000000" w:rsidDel="00000000" w:rsidP="00000000" w:rsidRDefault="00000000" w:rsidRPr="00000000" w14:paraId="00000030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hatékony keresés tervezést, értékelést és a stratégiák folyamatos finomítását igényli.</w:t>
        <w:br w:type="textWrapping"/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Példák: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Tanárok: Megtanítják a logikai operátoros keresést és az adatbázisok használatát.</w:t>
        <w:br w:type="textWrapping"/>
        <w:t xml:space="preserve">Szülők: Segítenek a gyerekeknek a keresőmotorok tudatos használatában és a megbízhatatlan források elkerülésében.</w:t>
      </w:r>
    </w:p>
    <w:p w:rsidR="00000000" w:rsidDel="00000000" w:rsidP="00000000" w:rsidRDefault="00000000" w:rsidRPr="00000000" w14:paraId="00000031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Ezek a keretek arra ösztönzik a tanulókat, hogy kritikusan tekintsenek az információra, megértsék annak előállítását és értékét, valamint aktívan részt vegyenek a tudományos párbeszédben. Például a tanárok a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„A tekintély konstruált és kontextusfüggő”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elvet használhatják arra, hogy segítsék a diákokat a források kontextus alapú értékelésében. Az iskolai vezetők az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„Az információnak értéke van”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elvet alkalmazhatják az akadémiai integritásra vonatkozó irányelvek kidolgozásakor. A szülők pedig a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„A keresés mint stratégiai feltárás”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elvet támogathatják azzal, hogy iránymutatást adnak gyermekeiknek a keresőmotorok hatékony használatához.</w:t>
      </w:r>
    </w:p>
    <w:p w:rsidR="00000000" w:rsidDel="00000000" w:rsidP="00000000" w:rsidRDefault="00000000" w:rsidRPr="00000000" w14:paraId="00000033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jc w:val="both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sz w:val="32"/>
          <w:szCs w:val="32"/>
          <w:rtl w:val="0"/>
        </w:rPr>
        <w:t xml:space="preserve">Konklúzió</w:t>
      </w:r>
    </w:p>
    <w:p w:rsidR="00000000" w:rsidDel="00000000" w:rsidP="00000000" w:rsidRDefault="00000000" w:rsidRPr="00000000" w14:paraId="00000035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Mind az UNESCO, mind az ACRL keretrendszerek alapvető útmutatást nyújtanak az információs műveltség fejlesztéséhez. Míg az UNESCO a globális hozzáférésre és a polgári szerepvállalásra összpontosít, az ACRL a tudományos kutatást és a kritikai gondolkodást hangsúlyozza. Együttesen támogatják a tanulókat abban, hogy tájékozott, etikus és önálló információfelhasználókká váljanak a különböző kontextusokban.</w:t>
      </w:r>
    </w:p>
    <w:p w:rsidR="00000000" w:rsidDel="00000000" w:rsidP="00000000" w:rsidRDefault="00000000" w:rsidRPr="00000000" w14:paraId="00000036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ambria" w:cs="Cambria" w:eastAsia="Cambria" w:hAnsi="Cambria"/>
          <w:color w:val="3e762a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Források</w:t>
      </w:r>
    </w:p>
    <w:p w:rsidR="00000000" w:rsidDel="00000000" w:rsidP="00000000" w:rsidRDefault="00000000" w:rsidRPr="00000000" w14:paraId="00000039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Alcolea-Díaz, G., Reig, R., &amp; Mancinas-Chávez, R. (2020). UNESCO's Media and Information Literacy Curriculum for Teachers from the Perspective of Structural Considerations of Information. </w:t>
      </w: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Comunicar: Media Education Research Journal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, </w:t>
      </w: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28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(62), 99-109.</w:t>
      </w:r>
    </w:p>
    <w:p w:rsidR="00000000" w:rsidDel="00000000" w:rsidP="00000000" w:rsidRDefault="00000000" w:rsidRPr="00000000" w14:paraId="0000003B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Association of College and Research Libraries. (2016). Framework for information literacy for higher education. American Library Association. </w:t>
      </w:r>
      <w:hyperlink r:id="rId9">
        <w:r w:rsidDel="00000000" w:rsidR="00000000" w:rsidRPr="00000000">
          <w:rPr>
            <w:rFonts w:ascii="Cambria" w:cs="Cambria" w:eastAsia="Cambria" w:hAnsi="Cambria"/>
            <w:color w:val="6b9f25"/>
            <w:u w:val="single"/>
            <w:rtl w:val="0"/>
          </w:rPr>
          <w:t xml:space="preserve">https://www.ala.org/acrl/standards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rPr>
          <w:color w:val="3e762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Arial"/>
  <w:font w:name="Time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rFonts w:ascii="Arial" w:cs="Arial" w:eastAsia="Arial" w:hAnsi="Arial"/>
        <w:color w:val="404040"/>
        <w:sz w:val="11"/>
        <w:szCs w:val="11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ind w:left="720" w:firstLine="0"/>
      <w:jc w:val="right"/>
      <w:rPr>
        <w:rFonts w:ascii="Times" w:cs="Times" w:eastAsia="Times" w:hAnsi="Times"/>
      </w:rPr>
    </w:pPr>
    <w:r w:rsidDel="00000000" w:rsidR="00000000" w:rsidRPr="00000000">
      <w:rPr>
        <w:rFonts w:ascii="Helvetica Neue" w:cs="Helvetica Neue" w:eastAsia="Helvetica Neue" w:hAnsi="Helvetica Neue"/>
        <w:color w:val="032b6f"/>
        <w:rtl w:val="0"/>
      </w:rPr>
      <w:t xml:space="preserve">                                                           </w:t>
    </w:r>
    <w:r w:rsidDel="00000000" w:rsidR="00000000" w:rsidRPr="00000000">
      <w:rPr/>
      <w:drawing>
        <wp:inline distB="0" distT="0" distL="0" distR="0">
          <wp:extent cx="1471613" cy="583570"/>
          <wp:effectExtent b="0" l="0" r="0" t="0"/>
          <wp:docPr descr="A blue and white logo&#10;&#10;Description automatically generated" id="2077838575" name="image1.jpg"/>
          <a:graphic>
            <a:graphicData uri="http://schemas.openxmlformats.org/drawingml/2006/picture">
              <pic:pic>
                <pic:nvPicPr>
                  <pic:cNvPr descr="A blue and white logo&#10;&#10;Description automatically generated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1613" cy="5835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jc w:val="both"/>
      <w:rPr>
        <w:rFonts w:ascii="Times" w:cs="Times" w:eastAsia="Times" w:hAnsi="Times"/>
      </w:rPr>
    </w:pPr>
    <w:r w:rsidDel="00000000" w:rsidR="00000000" w:rsidRPr="00000000">
      <w:rPr>
        <w:color w:val="000000"/>
        <w:sz w:val="28"/>
        <w:szCs w:val="28"/>
        <w:rtl w:val="0"/>
      </w:rPr>
      <w:t xml:space="preserve">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3e762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3e762a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94e1c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e762a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rFonts w:ascii="Calibri" w:cs="Calibri" w:eastAsia="Calibri" w:hAnsi="Calibri"/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sz w:val="56"/>
      <w:szCs w:val="5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itleChar" w:customStyle="1">
    <w:name w:val="Title Char"/>
    <w:basedOn w:val="DefaultParagraphFont"/>
    <w:link w:val="Title"/>
    <w:uiPriority w:val="10"/>
    <w:rsid w:val="005C3DB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5C3DB9"/>
    <w:rPr>
      <w:rFonts w:asciiTheme="majorHAnsi" w:cstheme="majorBidi" w:eastAsiaTheme="majorEastAsia" w:hAnsiTheme="majorHAnsi"/>
      <w:color w:val="3e762a" w:themeColor="accent1" w:themeShade="0000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5C3DB9"/>
    <w:rPr>
      <w:rFonts w:asciiTheme="majorHAnsi" w:cstheme="majorBidi" w:eastAsiaTheme="majorEastAsia" w:hAnsiTheme="majorHAnsi"/>
      <w:color w:val="3e762a" w:themeColor="accent1" w:themeShade="0000BF"/>
      <w:sz w:val="26"/>
      <w:szCs w:val="26"/>
    </w:rPr>
  </w:style>
  <w:style w:type="paragraph" w:styleId="NormalWeb">
    <w:name w:val="Normal (Web)"/>
    <w:basedOn w:val="Normal"/>
    <w:uiPriority w:val="99"/>
    <w:unhideWhenUsed w:val="1"/>
    <w:rsid w:val="005C3DB9"/>
    <w:pPr>
      <w:spacing w:after="100" w:afterAutospacing="1" w:before="100" w:beforeAutospacing="1"/>
    </w:pPr>
    <w:rPr>
      <w:rFonts w:ascii="Calibri" w:hAnsi="Calibri" w:cstheme="minorHAnsi"/>
      <w:lang w:val="en-GB"/>
    </w:rPr>
  </w:style>
  <w:style w:type="paragraph" w:styleId="paragraph" w:customStyle="1">
    <w:name w:val="paragraph"/>
    <w:basedOn w:val="Normal"/>
    <w:rsid w:val="005C3DB9"/>
    <w:pPr>
      <w:spacing w:after="100" w:afterAutospacing="1" w:before="100" w:beforeAutospacing="1"/>
    </w:pPr>
    <w:rPr>
      <w:rFonts w:ascii="Calibri" w:hAnsi="Calibri" w:cstheme="minorHAnsi"/>
      <w:lang w:val="en-GB"/>
    </w:rPr>
  </w:style>
  <w:style w:type="character" w:styleId="normaltextrun" w:customStyle="1">
    <w:name w:val="normaltextrun"/>
    <w:basedOn w:val="DefaultParagraphFont"/>
    <w:rsid w:val="005C3DB9"/>
  </w:style>
  <w:style w:type="character" w:styleId="eop" w:customStyle="1">
    <w:name w:val="eop"/>
    <w:basedOn w:val="DefaultParagraphFont"/>
    <w:rsid w:val="005C3DB9"/>
  </w:style>
  <w:style w:type="paragraph" w:styleId="ListParagraph">
    <w:name w:val="List Paragraph"/>
    <w:basedOn w:val="Normal"/>
    <w:uiPriority w:val="34"/>
    <w:qFormat w:val="1"/>
    <w:rsid w:val="0093425E"/>
    <w:pPr>
      <w:ind w:left="720"/>
      <w:contextualSpacing w:val="1"/>
    </w:pPr>
    <w:rPr>
      <w:rFonts w:ascii="Calibri" w:hAnsi="Calibri" w:cstheme="minorBidi" w:eastAsiaTheme="minorHAnsi"/>
      <w:kern w:val="2"/>
      <w:lang w:val="en-GB"/>
    </w:rPr>
  </w:style>
  <w:style w:type="table" w:styleId="TableGrid">
    <w:name w:val="Table Grid"/>
    <w:basedOn w:val="TableNormal"/>
    <w:uiPriority w:val="39"/>
    <w:rsid w:val="009342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D8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D8397E"/>
    <w:rPr>
      <w:rFonts w:ascii="Calibri" w:hAnsi="Calibri" w:cstheme="minorBidi" w:eastAsiaTheme="minorHAnsi"/>
      <w:kern w:val="2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839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D8397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D8397E"/>
    <w:rPr>
      <w:b w:val="1"/>
      <w:bCs w:val="1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FF1E38"/>
    <w:pPr>
      <w:spacing w:before="480" w:line="276" w:lineRule="auto"/>
      <w:outlineLvl w:val="9"/>
    </w:pPr>
    <w:rPr>
      <w:b w:val="1"/>
      <w:bCs w:val="1"/>
      <w:kern w:val="0"/>
      <w:sz w:val="28"/>
      <w:szCs w:val="28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FF1E38"/>
    <w:pPr>
      <w:spacing w:before="120"/>
    </w:pPr>
    <w:rPr>
      <w:rFonts w:ascii="Calibri" w:hAnsi="Calibri" w:cstheme="minorHAnsi"/>
      <w:b w:val="1"/>
      <w:bCs w:val="1"/>
      <w:i w:val="1"/>
      <w:iCs w:val="1"/>
      <w:lang w:val="en-GB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FF1E38"/>
    <w:pPr>
      <w:spacing w:before="120"/>
      <w:ind w:left="240"/>
    </w:pPr>
    <w:rPr>
      <w:rFonts w:ascii="Calibri" w:hAnsi="Calibri" w:cstheme="minorHAnsi"/>
      <w:b w:val="1"/>
      <w:bCs w:val="1"/>
      <w:sz w:val="22"/>
      <w:szCs w:val="22"/>
      <w:lang w:val="en-GB"/>
    </w:rPr>
  </w:style>
  <w:style w:type="character" w:styleId="Hyperlink">
    <w:name w:val="Hyperlink"/>
    <w:basedOn w:val="DefaultParagraphFont"/>
    <w:uiPriority w:val="99"/>
    <w:unhideWhenUsed w:val="1"/>
    <w:rsid w:val="00FF1E38"/>
    <w:rPr>
      <w:color w:val="6b9f25" w:themeColor="hyperlink"/>
      <w:u w:val="single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FF1E38"/>
    <w:pPr>
      <w:ind w:left="480"/>
    </w:pPr>
    <w:rPr>
      <w:rFonts w:ascii="Calibri" w:hAnsi="Calibri" w:cstheme="minorHAnsi"/>
      <w:sz w:val="20"/>
      <w:szCs w:val="20"/>
      <w:lang w:val="en-GB"/>
    </w:rPr>
  </w:style>
  <w:style w:type="paragraph" w:styleId="TOC4">
    <w:name w:val="toc 4"/>
    <w:basedOn w:val="Normal"/>
    <w:next w:val="Normal"/>
    <w:autoRedefine w:val="1"/>
    <w:uiPriority w:val="39"/>
    <w:semiHidden w:val="1"/>
    <w:unhideWhenUsed w:val="1"/>
    <w:rsid w:val="00FF1E38"/>
    <w:pPr>
      <w:ind w:left="720"/>
    </w:pPr>
    <w:rPr>
      <w:rFonts w:ascii="Calibri" w:hAnsi="Calibri" w:cstheme="minorHAnsi"/>
      <w:sz w:val="20"/>
      <w:szCs w:val="20"/>
      <w:lang w:val="en-GB"/>
    </w:rPr>
  </w:style>
  <w:style w:type="paragraph" w:styleId="TOC5">
    <w:name w:val="toc 5"/>
    <w:basedOn w:val="Normal"/>
    <w:next w:val="Normal"/>
    <w:autoRedefine w:val="1"/>
    <w:uiPriority w:val="39"/>
    <w:semiHidden w:val="1"/>
    <w:unhideWhenUsed w:val="1"/>
    <w:rsid w:val="00FF1E38"/>
    <w:pPr>
      <w:ind w:left="960"/>
    </w:pPr>
    <w:rPr>
      <w:rFonts w:ascii="Calibri" w:hAnsi="Calibri" w:cstheme="minorHAnsi"/>
      <w:sz w:val="20"/>
      <w:szCs w:val="20"/>
      <w:lang w:val="en-GB"/>
    </w:rPr>
  </w:style>
  <w:style w:type="paragraph" w:styleId="TOC6">
    <w:name w:val="toc 6"/>
    <w:basedOn w:val="Normal"/>
    <w:next w:val="Normal"/>
    <w:autoRedefine w:val="1"/>
    <w:uiPriority w:val="39"/>
    <w:semiHidden w:val="1"/>
    <w:unhideWhenUsed w:val="1"/>
    <w:rsid w:val="00FF1E38"/>
    <w:pPr>
      <w:ind w:left="1200"/>
    </w:pPr>
    <w:rPr>
      <w:rFonts w:ascii="Calibri" w:hAnsi="Calibri" w:cstheme="minorHAnsi"/>
      <w:sz w:val="20"/>
      <w:szCs w:val="20"/>
      <w:lang w:val="en-GB"/>
    </w:rPr>
  </w:style>
  <w:style w:type="paragraph" w:styleId="TOC7">
    <w:name w:val="toc 7"/>
    <w:basedOn w:val="Normal"/>
    <w:next w:val="Normal"/>
    <w:autoRedefine w:val="1"/>
    <w:uiPriority w:val="39"/>
    <w:semiHidden w:val="1"/>
    <w:unhideWhenUsed w:val="1"/>
    <w:rsid w:val="00FF1E38"/>
    <w:pPr>
      <w:ind w:left="1440"/>
    </w:pPr>
    <w:rPr>
      <w:rFonts w:ascii="Calibri" w:hAnsi="Calibri" w:cstheme="minorHAnsi"/>
      <w:sz w:val="20"/>
      <w:szCs w:val="20"/>
      <w:lang w:val="en-GB"/>
    </w:rPr>
  </w:style>
  <w:style w:type="paragraph" w:styleId="TOC8">
    <w:name w:val="toc 8"/>
    <w:basedOn w:val="Normal"/>
    <w:next w:val="Normal"/>
    <w:autoRedefine w:val="1"/>
    <w:uiPriority w:val="39"/>
    <w:semiHidden w:val="1"/>
    <w:unhideWhenUsed w:val="1"/>
    <w:rsid w:val="00FF1E38"/>
    <w:pPr>
      <w:ind w:left="1680"/>
    </w:pPr>
    <w:rPr>
      <w:rFonts w:ascii="Calibri" w:hAnsi="Calibri" w:cstheme="minorHAnsi"/>
      <w:sz w:val="20"/>
      <w:szCs w:val="20"/>
      <w:lang w:val="en-GB"/>
    </w:rPr>
  </w:style>
  <w:style w:type="paragraph" w:styleId="TOC9">
    <w:name w:val="toc 9"/>
    <w:basedOn w:val="Normal"/>
    <w:next w:val="Normal"/>
    <w:autoRedefine w:val="1"/>
    <w:uiPriority w:val="39"/>
    <w:semiHidden w:val="1"/>
    <w:unhideWhenUsed w:val="1"/>
    <w:rsid w:val="00FF1E38"/>
    <w:pPr>
      <w:ind w:left="1920"/>
    </w:pPr>
    <w:rPr>
      <w:rFonts w:ascii="Calibri" w:hAnsi="Calibri" w:cstheme="minorHAnsi"/>
      <w:sz w:val="20"/>
      <w:szCs w:val="20"/>
      <w:lang w:val="en-GB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rsid w:val="006B0EAF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6B0EAF"/>
    <w:rPr>
      <w:color w:val="ba6906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6F4770"/>
    <w:pPr>
      <w:tabs>
        <w:tab w:val="center" w:pos="4536"/>
        <w:tab w:val="right" w:pos="9072"/>
      </w:tabs>
    </w:pPr>
    <w:rPr>
      <w:rFonts w:ascii="Calibri" w:hAnsi="Calibri" w:cstheme="minorHAnsi"/>
      <w:lang w:val="en-GB"/>
    </w:rPr>
  </w:style>
  <w:style w:type="character" w:styleId="HeaderChar" w:customStyle="1">
    <w:name w:val="Header Char"/>
    <w:basedOn w:val="DefaultParagraphFont"/>
    <w:link w:val="Header"/>
    <w:uiPriority w:val="99"/>
    <w:rsid w:val="006F4770"/>
    <w:rPr>
      <w:rFonts w:eastAsia="Times New Roman" w:cstheme="minorHAnsi"/>
      <w:kern w:val="0"/>
    </w:rPr>
  </w:style>
  <w:style w:type="paragraph" w:styleId="Footer">
    <w:name w:val="footer"/>
    <w:basedOn w:val="Normal"/>
    <w:link w:val="FooterChar"/>
    <w:uiPriority w:val="99"/>
    <w:unhideWhenUsed w:val="1"/>
    <w:rsid w:val="006F4770"/>
    <w:pPr>
      <w:tabs>
        <w:tab w:val="center" w:pos="4536"/>
        <w:tab w:val="right" w:pos="9072"/>
      </w:tabs>
    </w:pPr>
    <w:rPr>
      <w:rFonts w:ascii="Calibri" w:hAnsi="Calibri" w:cstheme="minorHAnsi"/>
      <w:lang w:val="en-GB"/>
    </w:rPr>
  </w:style>
  <w:style w:type="character" w:styleId="FooterChar" w:customStyle="1">
    <w:name w:val="Footer Char"/>
    <w:basedOn w:val="DefaultParagraphFont"/>
    <w:link w:val="Footer"/>
    <w:uiPriority w:val="99"/>
    <w:rsid w:val="006F4770"/>
    <w:rPr>
      <w:rFonts w:eastAsia="Times New Roman" w:cstheme="minorHAnsi"/>
      <w:kern w:val="0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6F4770"/>
  </w:style>
  <w:style w:type="paragraph" w:styleId="Revision">
    <w:name w:val="Revision"/>
    <w:hidden w:val="1"/>
    <w:uiPriority w:val="99"/>
    <w:semiHidden w:val="1"/>
    <w:rsid w:val="007F2618"/>
    <w:rPr>
      <w:rFonts w:cstheme="minorHAnsi"/>
    </w:rPr>
  </w:style>
  <w:style w:type="table" w:styleId="GridTable1Light-Accent4">
    <w:name w:val="Grid Table 1 Light Accent 4"/>
    <w:basedOn w:val="TableNormal"/>
    <w:uiPriority w:val="46"/>
    <w:rsid w:val="00F031CA"/>
    <w:tblPr>
      <w:tblStyleRowBandSize w:val="1"/>
      <w:tblStyleColBandSize w:val="1"/>
      <w:tblBorders>
        <w:top w:color="71fdde" w:space="0" w:sz="4" w:themeColor="accent4" w:themeTint="000066" w:val="single"/>
        <w:left w:color="71fdde" w:space="0" w:sz="4" w:themeColor="accent4" w:themeTint="000066" w:val="single"/>
        <w:bottom w:color="71fdde" w:space="0" w:sz="4" w:themeColor="accent4" w:themeTint="000066" w:val="single"/>
        <w:right w:color="71fdde" w:space="0" w:sz="4" w:themeColor="accent4" w:themeTint="000066" w:val="single"/>
        <w:insideH w:color="71fdde" w:space="0" w:sz="4" w:themeColor="accent4" w:themeTint="000066" w:val="single"/>
        <w:insideV w:color="71fdde" w:space="0" w:sz="4" w:themeColor="accent4" w:themeTint="000066" w:val="single"/>
      </w:tblBorders>
    </w:tblPr>
    <w:tblStylePr w:type="firstRow">
      <w:rPr>
        <w:b w:val="1"/>
        <w:bCs w:val="1"/>
      </w:rPr>
      <w:tblPr/>
      <w:tcPr>
        <w:tcBorders>
          <w:bottom w:color="2afcce" w:space="0" w:sz="12" w:themeColor="accent4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2afcce" w:space="0" w:sz="2" w:themeColor="accent4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</w:style>
  <w:style w:type="table" w:styleId="GridTable2-Accent1">
    <w:name w:val="Grid Table 2 Accent 1"/>
    <w:basedOn w:val="TableNormal"/>
    <w:uiPriority w:val="47"/>
    <w:rsid w:val="00F031CA"/>
    <w:tblPr>
      <w:tblStyleRowBandSize w:val="1"/>
      <w:tblStyleColBandSize w:val="1"/>
      <w:tblBorders>
        <w:top w:color="93d07c" w:space="0" w:sz="2" w:themeColor="accent1" w:themeTint="000099" w:val="single"/>
        <w:bottom w:color="93d07c" w:space="0" w:sz="2" w:themeColor="accent1" w:themeTint="000099" w:val="single"/>
        <w:insideH w:color="93d07c" w:space="0" w:sz="2" w:themeColor="accent1" w:themeTint="000099" w:val="single"/>
        <w:insideV w:color="93d07c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3d07c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3d07c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fd3" w:themeFill="accent1" w:themeFillTint="000033" w:val="clear"/>
      </w:tcPr>
    </w:tblStylePr>
    <w:tblStylePr w:type="band1Horz">
      <w:tblPr/>
      <w:tcPr>
        <w:shd w:color="auto" w:fill="daefd3" w:themeFill="accent1" w:themeFillTint="000033" w:val="clear"/>
      </w:tcPr>
    </w:tblStylePr>
  </w:style>
  <w:style w:type="paragraph" w:styleId="Standaard1" w:customStyle="1">
    <w:name w:val="Standaard1"/>
    <w:basedOn w:val="Normal"/>
    <w:rsid w:val="00691D57"/>
    <w:pPr>
      <w:spacing w:after="100" w:afterAutospacing="1" w:before="100" w:beforeAutospacing="1"/>
    </w:pPr>
  </w:style>
  <w:style w:type="character" w:styleId="apple-converted-space" w:customStyle="1">
    <w:name w:val="apple-converted-space"/>
    <w:basedOn w:val="DefaultParagraphFont"/>
    <w:rsid w:val="00691D57"/>
  </w:style>
  <w:style w:type="character" w:styleId="Strong">
    <w:name w:val="Strong"/>
    <w:basedOn w:val="DefaultParagraphFont"/>
    <w:uiPriority w:val="22"/>
    <w:qFormat w:val="1"/>
    <w:rsid w:val="00691D57"/>
    <w:rPr>
      <w:b w:val="1"/>
      <w:bCs w:val="1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691D57"/>
    <w:rPr>
      <w:rFonts w:ascii="Calibri" w:hAnsi="Calibri" w:cstheme="minorHAnsi"/>
      <w:sz w:val="20"/>
      <w:szCs w:val="20"/>
      <w:lang w:val="en-GB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691D57"/>
    <w:rPr>
      <w:rFonts w:eastAsia="Times New Roman" w:cstheme="minorHAnsi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691D57"/>
    <w:rPr>
      <w:vertAlign w:val="superscript"/>
    </w:rPr>
  </w:style>
  <w:style w:type="paragraph" w:styleId="Default" w:customStyle="1">
    <w:name w:val="Default"/>
    <w:rsid w:val="00691D57"/>
    <w:pPr>
      <w:autoSpaceDE w:val="0"/>
      <w:autoSpaceDN w:val="0"/>
      <w:adjustRightInd w:val="0"/>
    </w:pPr>
    <w:rPr>
      <w:rFonts w:ascii="Times" w:cs="Times" w:hAnsi="Times"/>
      <w:color w:val="000000"/>
      <w:lang w:val="nl-NL"/>
    </w:rPr>
  </w:style>
  <w:style w:type="paragraph" w:styleId="c-breadcrumbsitem" w:customStyle="1">
    <w:name w:val="c-breadcrumbs__item"/>
    <w:basedOn w:val="Normal"/>
    <w:rsid w:val="00691D57"/>
    <w:pPr>
      <w:spacing w:after="100" w:afterAutospacing="1" w:before="100" w:beforeAutospacing="1"/>
    </w:pPr>
  </w:style>
  <w:style w:type="paragraph" w:styleId="NoSpacing">
    <w:name w:val="No Spacing"/>
    <w:uiPriority w:val="1"/>
    <w:qFormat w:val="1"/>
    <w:rsid w:val="00F10178"/>
    <w:rPr>
      <w:sz w:val="22"/>
      <w:szCs w:val="22"/>
      <w:lang w:val="nl-NL"/>
    </w:rPr>
  </w:style>
  <w:style w:type="character" w:styleId="Heading3Char" w:customStyle="1">
    <w:name w:val="Heading 3 Char"/>
    <w:basedOn w:val="DefaultParagraphFont"/>
    <w:link w:val="Heading3"/>
    <w:uiPriority w:val="9"/>
    <w:rsid w:val="00C917E1"/>
    <w:rPr>
      <w:rFonts w:asciiTheme="majorHAnsi" w:cstheme="majorBidi" w:eastAsiaTheme="majorEastAsia" w:hAnsiTheme="majorHAnsi"/>
      <w:color w:val="294e1c" w:themeColor="accent1" w:themeShade="00007F"/>
      <w:kern w:val="0"/>
    </w:rPr>
  </w:style>
  <w:style w:type="paragraph" w:styleId="preflex" w:customStyle="1">
    <w:name w:val="preflex"/>
    <w:basedOn w:val="Normal"/>
    <w:rsid w:val="00B824A6"/>
    <w:pPr>
      <w:spacing w:after="100" w:afterAutospacing="1" w:before="100" w:beforeAutospacing="1"/>
    </w:pPr>
  </w:style>
  <w:style w:type="character" w:styleId="Emphasis">
    <w:name w:val="Emphasis"/>
    <w:basedOn w:val="DefaultParagraphFont"/>
    <w:uiPriority w:val="20"/>
    <w:qFormat w:val="1"/>
    <w:rsid w:val="00B824A6"/>
    <w:rPr>
      <w:i w:val="1"/>
      <w:iCs w:val="1"/>
    </w:rPr>
  </w:style>
  <w:style w:type="character" w:styleId="Heading4Char" w:customStyle="1">
    <w:name w:val="Heading 4 Char"/>
    <w:basedOn w:val="DefaultParagraphFont"/>
    <w:link w:val="Heading4"/>
    <w:uiPriority w:val="9"/>
    <w:rsid w:val="0087706B"/>
    <w:rPr>
      <w:rFonts w:asciiTheme="majorHAnsi" w:cstheme="majorBidi" w:eastAsiaTheme="majorEastAsia" w:hAnsiTheme="majorHAnsi"/>
      <w:i w:val="1"/>
      <w:iCs w:val="1"/>
      <w:color w:val="3e762a" w:themeColor="accent1" w:themeShade="0000BF"/>
      <w:kern w:val="0"/>
    </w:rPr>
  </w:style>
  <w:style w:type="table" w:styleId="12" w:customStyle="1">
    <w:name w:val="12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11" w:customStyle="1">
    <w:name w:val="11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10" w:customStyle="1">
    <w:name w:val="10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9" w:customStyle="1">
    <w:name w:val="9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8" w:customStyle="1">
    <w:name w:val="8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7" w:customStyle="1">
    <w:name w:val="7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6" w:customStyle="1">
    <w:name w:val="6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5" w:customStyle="1">
    <w:name w:val="5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4" w:customStyle="1">
    <w:name w:val="4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3" w:customStyle="1">
    <w:name w:val="3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2" w:customStyle="1">
    <w:name w:val="2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1" w:customStyle="1">
    <w:name w:val="1"/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c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e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2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3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4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5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table" w:styleId="af6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top w:space="0" w:sz="0" w:val="nil"/>
          <w:bottom w:color="93d07c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3d07c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fd3" w:val="clear"/>
      </w:tcPr>
    </w:tblStylePr>
    <w:tblStylePr w:type="band1Horz">
      <w:tblPr/>
      <w:tcPr>
        <w:shd w:color="auto" w:fill="dbefd3" w:val="clear"/>
      </w:tcPr>
    </w:tblStylePr>
  </w:style>
  <w:style w:type="paragraph" w:styleId="ListBullet">
    <w:name w:val="List Bullet"/>
    <w:basedOn w:val="Normal"/>
    <w:uiPriority w:val="99"/>
    <w:unhideWhenUsed w:val="1"/>
    <w:rsid w:val="00300C64"/>
    <w:pPr>
      <w:numPr>
        <w:numId w:val="28"/>
      </w:numPr>
      <w:spacing w:after="200" w:line="276" w:lineRule="auto"/>
      <w:contextualSpacing w:val="1"/>
    </w:pPr>
    <w:rPr>
      <w:rFonts w:asciiTheme="minorHAnsi" w:cstheme="minorBidi" w:eastAsiaTheme="minorEastAsia" w:hAnsiTheme="minorHAnsi"/>
      <w:sz w:val="22"/>
      <w:szCs w:val="22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ala.org/acrl/standards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Gro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defU4T/uS6y3jrCIC6skBrkDqA==">CgMxLjAyDmguMWoydnFoY2U0Y2JkMgloLjIzY2t2dmQyDWgucHY0MmZuajhrN3cyDmguNmVraTR1bzNhaW1hMg5oLjQ4NTk3NXV0NTMwbjIOaC44YnhzNHdwY21ueTcyDmguMm9xZDNwZTFnZW5mMg5oLmdxMHJubmVnbnNtMjgAciExV1lwR1o2MlR2Z3N5TGN0WUxWOTZsTkk3V1NONWloRWw=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2024-05-14T10:34:00Z</dcterms:created>
  <dc:creator>Karousiou</dc:creator>
</cp:coreProperties>
</file>